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6480B222" w14:textId="77777777">
        <w:tc>
          <w:tcPr>
            <w:tcW w:w="3915" w:type="dxa"/>
          </w:tcPr>
          <w:p w14:paraId="6A5BCA02"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5e7db</w:t>
            </w:r>
          </w:p>
        </w:tc>
        <w:tc>
          <w:tcPr>
            <w:tcW w:w="5451" w:type="dxa"/>
          </w:tcPr>
          <w:p w14:paraId="5E61AEED"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3109</w:t>
            </w:r>
          </w:p>
        </w:tc>
      </w:tr>
      <w:tr w:rsidR="00DE1913" w14:paraId="2035E101" w14:textId="77777777">
        <w:tc>
          <w:tcPr>
            <w:tcW w:w="3915" w:type="dxa"/>
          </w:tcPr>
          <w:p w14:paraId="383E9BBE"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Número de expediente: 2026003739E</w:t>
            </w:r>
            <w:r>
              <w:rPr>
                <w:rFonts w:ascii="Work Sans" w:hAnsi="Work Sans"/>
                <w:sz w:val="17"/>
                <w:szCs w:val="17"/>
                <w:lang w:val="pt-BR"/>
              </w:rPr>
              <w:br/>
              <w:t>Código de validación expediente: 1e758</w:t>
            </w:r>
          </w:p>
        </w:tc>
        <w:tc>
          <w:tcPr>
            <w:tcW w:w="5451" w:type="dxa"/>
          </w:tcPr>
          <w:p w14:paraId="54E9963F"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 Público (x), Clasificado ()</w:t>
            </w:r>
          </w:p>
        </w:tc>
      </w:tr>
    </w:tbl>
    <w:p w14:paraId="4E05AF57" w14:textId="77777777" w:rsidR="00DE1913" w:rsidRDefault="00DE1913">
      <w:pPr>
        <w:ind w:right="49"/>
        <w:rPr>
          <w:rFonts w:ascii="Work Sans ExtraLight" w:hAnsi="Work Sans ExtraLight"/>
          <w:sz w:val="16"/>
          <w:lang w:val="pt-BR"/>
        </w:rPr>
      </w:pPr>
    </w:p>
    <w:p w14:paraId="4B247D7D"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51EEF8EE" w14:textId="77777777" w:rsidR="00DE1913" w:rsidRDefault="00DE1913">
      <w:pPr>
        <w:spacing w:after="0"/>
        <w:rPr>
          <w:rFonts w:ascii="Work Sans" w:hAnsi="Work Sans" w:cs="Arial"/>
          <w:sz w:val="24"/>
          <w:szCs w:val="24"/>
        </w:rPr>
      </w:pPr>
    </w:p>
    <w:p w14:paraId="57D0981A" w14:textId="77777777" w:rsidR="00DE1913" w:rsidRDefault="003B2B73">
      <w:pPr>
        <w:spacing w:after="0"/>
        <w:rPr>
          <w:rFonts w:ascii="Work Sans" w:hAnsi="Work Sans"/>
          <w:sz w:val="24"/>
          <w:szCs w:val="24"/>
        </w:rPr>
      </w:pPr>
      <w:r>
        <w:rPr>
          <w:rFonts w:ascii="Work Sans" w:hAnsi="Work Sans"/>
          <w:sz w:val="24"/>
          <w:szCs w:val="24"/>
        </w:rPr>
        <w:t>Señora</w:t>
      </w:r>
    </w:p>
    <w:p w14:paraId="78680EE2" w14:textId="77777777" w:rsidR="00DE1913" w:rsidRDefault="003B2B73">
      <w:pPr>
        <w:spacing w:after="0"/>
        <w:rPr>
          <w:rFonts w:ascii="Work Sans" w:hAnsi="Work Sans"/>
          <w:sz w:val="24"/>
          <w:szCs w:val="24"/>
          <w:lang w:val="es-ES"/>
        </w:rPr>
      </w:pPr>
      <w:r>
        <w:rPr>
          <w:rFonts w:ascii="Work Sans" w:hAnsi="Work Sans" w:cs="Arial"/>
          <w:b/>
          <w:bCs/>
          <w:sz w:val="24"/>
          <w:szCs w:val="24"/>
        </w:rPr>
        <w:t>Daira Milena Pantoja López</w:t>
      </w:r>
      <w:r>
        <w:rPr>
          <w:rFonts w:ascii="Work Sans" w:hAnsi="Work Sans"/>
          <w:sz w:val="24"/>
          <w:szCs w:val="24"/>
        </w:rPr>
        <w:br/>
        <w:t>Secretaria de Productividad y Competitividad Departamental</w:t>
      </w:r>
      <w:r>
        <w:rPr>
          <w:rFonts w:ascii="Work Sans" w:hAnsi="Work Sans"/>
          <w:sz w:val="24"/>
          <w:szCs w:val="24"/>
        </w:rPr>
        <w:br/>
      </w:r>
      <w:proofErr w:type="spellStart"/>
      <w:r>
        <w:rPr>
          <w:rFonts w:ascii="Work Sans" w:hAnsi="Work Sans"/>
          <w:sz w:val="24"/>
          <w:szCs w:val="24"/>
        </w:rPr>
        <w:t>Asociacion</w:t>
      </w:r>
      <w:proofErr w:type="spellEnd"/>
      <w:r>
        <w:rPr>
          <w:rFonts w:ascii="Work Sans" w:hAnsi="Work Sans"/>
          <w:sz w:val="24"/>
          <w:szCs w:val="24"/>
        </w:rPr>
        <w:t xml:space="preserve"> </w:t>
      </w:r>
      <w:proofErr w:type="spellStart"/>
      <w:r>
        <w:rPr>
          <w:rFonts w:ascii="Work Sans" w:hAnsi="Work Sans"/>
          <w:sz w:val="24"/>
          <w:szCs w:val="24"/>
        </w:rPr>
        <w:t>Integeal</w:t>
      </w:r>
      <w:proofErr w:type="spellEnd"/>
      <w:r>
        <w:rPr>
          <w:rFonts w:ascii="Work Sans" w:hAnsi="Work Sans"/>
          <w:sz w:val="24"/>
          <w:szCs w:val="24"/>
        </w:rPr>
        <w:t xml:space="preserve"> De Conductores De </w:t>
      </w:r>
      <w:proofErr w:type="spellStart"/>
      <w:r>
        <w:rPr>
          <w:rFonts w:ascii="Work Sans" w:hAnsi="Work Sans"/>
          <w:sz w:val="24"/>
          <w:szCs w:val="24"/>
        </w:rPr>
        <w:t>Hidocarburos</w:t>
      </w:r>
      <w:proofErr w:type="spellEnd"/>
      <w:r>
        <w:rPr>
          <w:rFonts w:ascii="Work Sans" w:hAnsi="Work Sans"/>
          <w:sz w:val="24"/>
          <w:szCs w:val="24"/>
        </w:rPr>
        <w:t xml:space="preserve"> Y Carga Del Putumayo “</w:t>
      </w:r>
      <w:proofErr w:type="spellStart"/>
      <w:r>
        <w:rPr>
          <w:rFonts w:ascii="Work Sans" w:hAnsi="Work Sans"/>
          <w:sz w:val="24"/>
          <w:szCs w:val="24"/>
        </w:rPr>
        <w:t>Asoicohicap</w:t>
      </w:r>
      <w:proofErr w:type="spellEnd"/>
      <w:r>
        <w:rPr>
          <w:rFonts w:ascii="Work Sans" w:hAnsi="Work Sans"/>
          <w:sz w:val="24"/>
          <w:szCs w:val="24"/>
        </w:rPr>
        <w:t>”</w:t>
      </w:r>
      <w:r>
        <w:rPr>
          <w:rFonts w:ascii="Work Sans" w:hAnsi="Work Sans"/>
          <w:sz w:val="24"/>
          <w:szCs w:val="24"/>
        </w:rPr>
        <w:br/>
        <w:t>asocohicap1@gmail.com</w:t>
      </w:r>
      <w:r>
        <w:rPr>
          <w:rFonts w:ascii="Work Sans" w:hAnsi="Work Sans"/>
          <w:sz w:val="24"/>
          <w:szCs w:val="24"/>
        </w:rPr>
        <w:br/>
      </w:r>
      <w:r>
        <w:rPr>
          <w:rFonts w:ascii="Work Sans" w:hAnsi="Work Sans"/>
          <w:sz w:val="24"/>
          <w:szCs w:val="24"/>
          <w:lang w:val="es-ES"/>
        </w:rPr>
        <w:t>Puerto Asís, Putumayo</w:t>
      </w:r>
    </w:p>
    <w:p w14:paraId="4B0FF474" w14:textId="77777777" w:rsidR="00DE1913" w:rsidRDefault="00DE1913">
      <w:pPr>
        <w:pStyle w:val="Textoindependiente"/>
        <w:ind w:right="40"/>
        <w:rPr>
          <w:rFonts w:ascii="Work Sans" w:hAnsi="Work Sans"/>
          <w:szCs w:val="24"/>
        </w:rPr>
      </w:pPr>
    </w:p>
    <w:p w14:paraId="3E21E5D3"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t>RESPUESTA A TRASLADO POR COMPETENCIA SOLICITUD ASOICOHICAP Y ASOCOVIP</w:t>
      </w:r>
    </w:p>
    <w:p w14:paraId="357AA7C5" w14:textId="77777777" w:rsidR="00DE1913" w:rsidRDefault="00DE1913">
      <w:pPr>
        <w:pStyle w:val="Textoindependiente"/>
        <w:ind w:right="40"/>
        <w:rPr>
          <w:rFonts w:ascii="Work Sans" w:hAnsi="Work Sans"/>
          <w:szCs w:val="24"/>
        </w:rPr>
      </w:pPr>
    </w:p>
    <w:p w14:paraId="3D82FB6C" w14:textId="77777777" w:rsidR="00FD7ADB" w:rsidRDefault="00FD7ADB" w:rsidP="00FD7ADB">
      <w:pPr>
        <w:spacing w:line="240" w:lineRule="auto"/>
        <w:ind w:left="340" w:right="340"/>
        <w:contextualSpacing/>
        <w:jc w:val="both"/>
        <w:rPr>
          <w:rFonts w:ascii="Work Sans" w:hAnsi="Work Sans" w:cs="Arial"/>
          <w:sz w:val="24"/>
        </w:rPr>
      </w:pPr>
    </w:p>
    <w:p w14:paraId="64F42351" w14:textId="77777777" w:rsidR="00FD7ADB" w:rsidRDefault="00FD7ADB" w:rsidP="00FD7ADB">
      <w:pPr>
        <w:spacing w:line="240" w:lineRule="auto"/>
        <w:ind w:right="340"/>
        <w:contextualSpacing/>
        <w:jc w:val="both"/>
        <w:rPr>
          <w:rFonts w:ascii="Work Sans" w:hAnsi="Work Sans" w:cs="Arial"/>
          <w:sz w:val="24"/>
        </w:rPr>
      </w:pPr>
      <w:r>
        <w:rPr>
          <w:rFonts w:ascii="Work Sans" w:hAnsi="Work Sans" w:cs="Arial"/>
          <w:sz w:val="24"/>
        </w:rPr>
        <w:t xml:space="preserve">En atención al requerimiento </w:t>
      </w:r>
      <w:r w:rsidRPr="00FD7ADB">
        <w:rPr>
          <w:rFonts w:ascii="Work Sans" w:hAnsi="Work Sans" w:cs="Arial"/>
          <w:sz w:val="24"/>
        </w:rPr>
        <w:t>remitid</w:t>
      </w:r>
      <w:r>
        <w:rPr>
          <w:rFonts w:ascii="Work Sans" w:hAnsi="Work Sans" w:cs="Arial"/>
          <w:sz w:val="24"/>
        </w:rPr>
        <w:t>o</w:t>
      </w:r>
      <w:r w:rsidRPr="00FD7ADB">
        <w:rPr>
          <w:rFonts w:ascii="Work Sans" w:hAnsi="Work Sans" w:cs="Arial"/>
          <w:sz w:val="24"/>
        </w:rPr>
        <w:t xml:space="preserve"> por la Asociación Sindical e Integral de Conductores de Hidrocarburos y Carga del Putumayo – ASOICOHICAP y la Asociación Sindical de Conductores de Villagarzón Putumayo – ASOCOVIP</w:t>
      </w:r>
      <w:r>
        <w:rPr>
          <w:rFonts w:ascii="Work Sans" w:hAnsi="Work Sans" w:cs="Arial"/>
          <w:sz w:val="24"/>
        </w:rPr>
        <w:t xml:space="preserve"> mediante radicado MinEnergia núm. </w:t>
      </w:r>
      <w:r w:rsidRPr="00FD7ADB">
        <w:rPr>
          <w:rFonts w:ascii="Work Sans" w:hAnsi="Work Sans" w:cs="Arial"/>
          <w:sz w:val="24"/>
        </w:rPr>
        <w:t>1-2026-028373</w:t>
      </w:r>
      <w:r>
        <w:rPr>
          <w:rFonts w:ascii="Work Sans" w:hAnsi="Work Sans" w:cs="Arial"/>
          <w:sz w:val="24"/>
        </w:rPr>
        <w:t xml:space="preserve"> del 17 de junio de 2026, el cual fue trasladado por </w:t>
      </w:r>
      <w:r w:rsidRPr="00FD7ADB">
        <w:rPr>
          <w:rFonts w:ascii="Work Sans" w:hAnsi="Work Sans" w:cs="Arial"/>
          <w:sz w:val="24"/>
        </w:rPr>
        <w:t>la Agencia Nacional de Hidrocarburos</w:t>
      </w:r>
      <w:r>
        <w:rPr>
          <w:rFonts w:ascii="Work Sans" w:hAnsi="Work Sans" w:cs="Arial"/>
          <w:sz w:val="24"/>
        </w:rPr>
        <w:t xml:space="preserve"> – ANH a esta entidad y en el que solicita:</w:t>
      </w:r>
    </w:p>
    <w:p w14:paraId="04FBC667" w14:textId="77777777" w:rsidR="00FD7ADB" w:rsidRDefault="00FD7ADB" w:rsidP="00FD7ADB">
      <w:pPr>
        <w:spacing w:line="240" w:lineRule="auto"/>
        <w:ind w:right="340"/>
        <w:contextualSpacing/>
        <w:jc w:val="both"/>
        <w:rPr>
          <w:rFonts w:ascii="Work Sans" w:hAnsi="Work Sans" w:cs="Arial"/>
          <w:sz w:val="24"/>
        </w:rPr>
      </w:pPr>
    </w:p>
    <w:p w14:paraId="49F70714" w14:textId="77777777" w:rsidR="00FD7ADB" w:rsidRDefault="00FD7ADB" w:rsidP="00FD7ADB">
      <w:pPr>
        <w:spacing w:line="240" w:lineRule="auto"/>
        <w:ind w:left="340" w:right="340"/>
        <w:contextualSpacing/>
        <w:jc w:val="both"/>
        <w:rPr>
          <w:rFonts w:ascii="Work Sans" w:hAnsi="Work Sans" w:cs="Arial"/>
          <w:sz w:val="24"/>
        </w:rPr>
      </w:pPr>
      <w:r w:rsidRPr="00FD7ADB">
        <w:rPr>
          <w:rFonts w:ascii="Work Sans" w:hAnsi="Work Sans" w:cs="Arial"/>
          <w:sz w:val="24"/>
        </w:rPr>
        <w:t>“(…) en representación de los trabajadores vinculados al transporte</w:t>
      </w:r>
      <w:r>
        <w:rPr>
          <w:rFonts w:ascii="Work Sans" w:hAnsi="Work Sans" w:cs="Arial"/>
          <w:sz w:val="24"/>
        </w:rPr>
        <w:t xml:space="preserve"> </w:t>
      </w:r>
      <w:r w:rsidRPr="00FD7ADB">
        <w:rPr>
          <w:rFonts w:ascii="Work Sans" w:hAnsi="Work Sans" w:cs="Arial"/>
          <w:sz w:val="24"/>
        </w:rPr>
        <w:t>terrestre de crudo mediante carrotanques y de las familias que dependen directa e indirectamente</w:t>
      </w:r>
      <w:r>
        <w:rPr>
          <w:rFonts w:ascii="Work Sans" w:hAnsi="Work Sans" w:cs="Arial"/>
          <w:sz w:val="24"/>
        </w:rPr>
        <w:t xml:space="preserve"> </w:t>
      </w:r>
      <w:r w:rsidRPr="00FD7ADB">
        <w:rPr>
          <w:rFonts w:ascii="Work Sans" w:hAnsi="Work Sans" w:cs="Arial"/>
          <w:sz w:val="24"/>
        </w:rPr>
        <w:t>de esta actividad en el departamento del Putumayo, expresamos nuestro más enérgico rechazo</w:t>
      </w:r>
      <w:r>
        <w:rPr>
          <w:rFonts w:ascii="Work Sans" w:hAnsi="Work Sans" w:cs="Arial"/>
          <w:sz w:val="24"/>
        </w:rPr>
        <w:t xml:space="preserve"> </w:t>
      </w:r>
      <w:r w:rsidRPr="00FD7ADB">
        <w:rPr>
          <w:rFonts w:ascii="Work Sans" w:hAnsi="Work Sans" w:cs="Arial"/>
          <w:sz w:val="24"/>
        </w:rPr>
        <w:t>a cualquier medida o decisión que promueva el traslado de la producción de hidrocarburos hacia</w:t>
      </w:r>
      <w:r>
        <w:rPr>
          <w:rFonts w:ascii="Work Sans" w:hAnsi="Work Sans" w:cs="Arial"/>
          <w:sz w:val="24"/>
        </w:rPr>
        <w:t xml:space="preserve"> </w:t>
      </w:r>
      <w:r w:rsidRPr="00FD7ADB">
        <w:rPr>
          <w:rFonts w:ascii="Work Sans" w:hAnsi="Work Sans" w:cs="Arial"/>
          <w:sz w:val="24"/>
        </w:rPr>
        <w:t>infraestructura de transporte localizada en la República del Ecuador, en</w:t>
      </w:r>
      <w:r>
        <w:rPr>
          <w:rFonts w:ascii="Work Sans" w:hAnsi="Work Sans" w:cs="Arial"/>
          <w:sz w:val="24"/>
        </w:rPr>
        <w:t xml:space="preserve"> </w:t>
      </w:r>
      <w:r w:rsidRPr="00FD7ADB">
        <w:rPr>
          <w:rFonts w:ascii="Work Sans" w:hAnsi="Work Sans" w:cs="Arial"/>
          <w:sz w:val="24"/>
        </w:rPr>
        <w:t>especial si dicha</w:t>
      </w:r>
      <w:r>
        <w:rPr>
          <w:rFonts w:ascii="Work Sans" w:hAnsi="Work Sans" w:cs="Arial"/>
          <w:sz w:val="24"/>
        </w:rPr>
        <w:t xml:space="preserve"> </w:t>
      </w:r>
      <w:r w:rsidRPr="00FD7ADB">
        <w:rPr>
          <w:rFonts w:ascii="Work Sans" w:hAnsi="Work Sans" w:cs="Arial"/>
          <w:sz w:val="24"/>
        </w:rPr>
        <w:t>operación contempla la participación de vehículos y personal extranjero, afectando la generación</w:t>
      </w:r>
      <w:r>
        <w:rPr>
          <w:rFonts w:ascii="Work Sans" w:hAnsi="Work Sans" w:cs="Arial"/>
          <w:sz w:val="24"/>
        </w:rPr>
        <w:t xml:space="preserve"> </w:t>
      </w:r>
      <w:r w:rsidRPr="00FD7ADB">
        <w:rPr>
          <w:rFonts w:ascii="Work Sans" w:hAnsi="Work Sans" w:cs="Arial"/>
          <w:sz w:val="24"/>
        </w:rPr>
        <w:t>de empleo, la contratación de mano de obra nacional y el desarrollo económico de la región</w:t>
      </w:r>
    </w:p>
    <w:p w14:paraId="24D763CF" w14:textId="77777777" w:rsidR="00FD7ADB" w:rsidRDefault="00FD7ADB" w:rsidP="00FD7ADB">
      <w:pPr>
        <w:spacing w:line="240" w:lineRule="auto"/>
        <w:ind w:left="340" w:right="340"/>
        <w:contextualSpacing/>
        <w:jc w:val="both"/>
        <w:rPr>
          <w:rFonts w:ascii="Work Sans" w:hAnsi="Work Sans" w:cs="Arial"/>
          <w:sz w:val="24"/>
        </w:rPr>
      </w:pPr>
    </w:p>
    <w:p w14:paraId="761CB1FF" w14:textId="77777777" w:rsidR="00484A5A" w:rsidRPr="00FD7ADB" w:rsidRDefault="00FD7ADB" w:rsidP="00FD7ADB">
      <w:pPr>
        <w:spacing w:line="240" w:lineRule="auto"/>
        <w:ind w:left="340" w:right="340"/>
        <w:contextualSpacing/>
        <w:jc w:val="both"/>
        <w:rPr>
          <w:rFonts w:ascii="Work Sans" w:hAnsi="Work Sans" w:cs="Arial"/>
          <w:sz w:val="24"/>
        </w:rPr>
      </w:pPr>
      <w:r w:rsidRPr="00FD7ADB">
        <w:rPr>
          <w:rFonts w:ascii="Work Sans" w:hAnsi="Work Sans" w:cs="Arial"/>
          <w:sz w:val="24"/>
        </w:rPr>
        <w:t>solicitamos que cualquier decisión relacionada con la evacuación, comercialización o transporte</w:t>
      </w:r>
      <w:r>
        <w:rPr>
          <w:rFonts w:ascii="Work Sans" w:hAnsi="Work Sans" w:cs="Arial"/>
          <w:sz w:val="24"/>
        </w:rPr>
        <w:t xml:space="preserve"> </w:t>
      </w:r>
      <w:r w:rsidRPr="00FD7ADB">
        <w:rPr>
          <w:rFonts w:ascii="Work Sans" w:hAnsi="Work Sans" w:cs="Arial"/>
          <w:sz w:val="24"/>
        </w:rPr>
        <w:t xml:space="preserve">de hidrocarburos en carrotanque, </w:t>
      </w:r>
      <w:r w:rsidRPr="00FD7ADB">
        <w:rPr>
          <w:rFonts w:ascii="Work Sans" w:hAnsi="Work Sans" w:cs="Arial"/>
          <w:sz w:val="24"/>
        </w:rPr>
        <w:lastRenderedPageBreak/>
        <w:t>producidos en el departamento del Putumayo incorpore</w:t>
      </w:r>
      <w:r>
        <w:rPr>
          <w:rFonts w:ascii="Work Sans" w:hAnsi="Work Sans" w:cs="Arial"/>
          <w:sz w:val="24"/>
        </w:rPr>
        <w:t xml:space="preserve"> </w:t>
      </w:r>
      <w:r w:rsidRPr="00FD7ADB">
        <w:rPr>
          <w:rFonts w:ascii="Work Sans" w:hAnsi="Work Sans" w:cs="Arial"/>
          <w:sz w:val="24"/>
        </w:rPr>
        <w:t>previamente una evaluación integral de impacto socioeconómico y laboral sobre las comunidades</w:t>
      </w:r>
      <w:r>
        <w:rPr>
          <w:rFonts w:ascii="Work Sans" w:hAnsi="Work Sans" w:cs="Arial"/>
          <w:sz w:val="24"/>
        </w:rPr>
        <w:t xml:space="preserve"> </w:t>
      </w:r>
      <w:r w:rsidRPr="00FD7ADB">
        <w:rPr>
          <w:rFonts w:ascii="Work Sans" w:hAnsi="Work Sans" w:cs="Arial"/>
          <w:sz w:val="24"/>
        </w:rPr>
        <w:t>colombianas del área de influencia, garantizando la participación de las organizaciones de</w:t>
      </w:r>
      <w:r>
        <w:rPr>
          <w:rFonts w:ascii="Work Sans" w:hAnsi="Work Sans" w:cs="Arial"/>
          <w:sz w:val="24"/>
        </w:rPr>
        <w:t xml:space="preserve"> </w:t>
      </w:r>
      <w:r w:rsidRPr="00FD7ADB">
        <w:rPr>
          <w:rFonts w:ascii="Work Sans" w:hAnsi="Work Sans" w:cs="Arial"/>
          <w:sz w:val="24"/>
        </w:rPr>
        <w:t>trabajadores y el respeto por los principios constitucionales de protección al trabajo, desarrollo</w:t>
      </w:r>
      <w:r>
        <w:rPr>
          <w:rFonts w:ascii="Work Sans" w:hAnsi="Work Sans" w:cs="Arial"/>
          <w:sz w:val="24"/>
        </w:rPr>
        <w:t xml:space="preserve"> </w:t>
      </w:r>
      <w:r w:rsidRPr="00FD7ADB">
        <w:rPr>
          <w:rFonts w:ascii="Work Sans" w:hAnsi="Work Sans" w:cs="Arial"/>
          <w:sz w:val="24"/>
        </w:rPr>
        <w:t>regional, función social de la empresa y aprovechamiento de los recursos naturales en beneficio</w:t>
      </w:r>
      <w:r>
        <w:rPr>
          <w:rFonts w:ascii="Work Sans" w:hAnsi="Work Sans" w:cs="Arial"/>
          <w:sz w:val="24"/>
        </w:rPr>
        <w:t xml:space="preserve"> </w:t>
      </w:r>
      <w:r w:rsidRPr="00FD7ADB">
        <w:rPr>
          <w:rFonts w:ascii="Work Sans" w:hAnsi="Work Sans" w:cs="Arial"/>
          <w:sz w:val="24"/>
        </w:rPr>
        <w:t>de la Nación y de sus ciudadanos (…)”</w:t>
      </w:r>
    </w:p>
    <w:p w14:paraId="45E56D83" w14:textId="77777777" w:rsidR="00484A5A" w:rsidRDefault="00484A5A" w:rsidP="00484A5A">
      <w:pPr>
        <w:spacing w:line="240" w:lineRule="auto"/>
        <w:ind w:right="51"/>
        <w:contextualSpacing/>
        <w:jc w:val="both"/>
        <w:rPr>
          <w:rFonts w:ascii="Work Sans" w:hAnsi="Work Sans" w:cs="Arial"/>
          <w:sz w:val="24"/>
          <w:highlight w:val="yellow"/>
        </w:rPr>
      </w:pPr>
    </w:p>
    <w:p w14:paraId="0DA70765" w14:textId="77777777" w:rsidR="00FD7ADB" w:rsidRPr="00FD7ADB" w:rsidRDefault="00FD7ADB" w:rsidP="00FD7ADB">
      <w:pPr>
        <w:spacing w:line="240" w:lineRule="auto"/>
        <w:ind w:right="51"/>
        <w:contextualSpacing/>
        <w:jc w:val="both"/>
        <w:rPr>
          <w:rFonts w:ascii="Work Sans" w:hAnsi="Work Sans" w:cs="Arial"/>
          <w:sz w:val="24"/>
        </w:rPr>
      </w:pPr>
      <w:r>
        <w:rPr>
          <w:rFonts w:ascii="Work Sans" w:hAnsi="Work Sans" w:cs="Arial"/>
          <w:sz w:val="24"/>
        </w:rPr>
        <w:t>S</w:t>
      </w:r>
      <w:r w:rsidRPr="00FD7ADB">
        <w:rPr>
          <w:rFonts w:ascii="Work Sans" w:hAnsi="Work Sans" w:cs="Arial"/>
          <w:sz w:val="24"/>
        </w:rPr>
        <w:t>e observa que dicho documento corresponde principalmente a un pronunciamiento gremial mediante el cual los peticionarios expresan su posición frente a la eventual utilización de infraestructura de transporte localizada en la República del Ecuador para la evacuación de hidrocarburos producidos en el departamento del Putumayo. Al respecto, este Ministerio procede a pronunciarse respecto de la solicitud consistente en que cualquier decisión relacionada con la evacuación, comercialización o transporte de hidrocarburos producidos en dicho departamento incorpore previamente una evaluación integral de impacto socioeconómico y laboral y garantice la participación de organizaciones de trabajadores.</w:t>
      </w:r>
    </w:p>
    <w:p w14:paraId="5BD36822" w14:textId="77777777" w:rsidR="00FD7ADB" w:rsidRPr="00FD7ADB" w:rsidRDefault="00FD7ADB" w:rsidP="00FD7ADB">
      <w:pPr>
        <w:spacing w:line="240" w:lineRule="auto"/>
        <w:ind w:right="51"/>
        <w:contextualSpacing/>
        <w:jc w:val="both"/>
        <w:rPr>
          <w:rFonts w:ascii="Work Sans" w:hAnsi="Work Sans" w:cs="Arial"/>
          <w:sz w:val="24"/>
        </w:rPr>
      </w:pPr>
    </w:p>
    <w:p w14:paraId="584ED444"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Frente a dicha solicitud, este Ministerio se permite informar que actualmente no cursa actuación administrativa alguna orientada a adoptar una decisión relacionada con la definición de una modalidad específica para la evacuación, comercialización o transporte de hidrocarburos producidos en el departamento del Putumayo.</w:t>
      </w:r>
    </w:p>
    <w:p w14:paraId="63320E77" w14:textId="77777777" w:rsidR="00FD7ADB" w:rsidRPr="00FD7ADB" w:rsidRDefault="00FD7ADB" w:rsidP="00FD7ADB">
      <w:pPr>
        <w:spacing w:line="240" w:lineRule="auto"/>
        <w:ind w:right="51"/>
        <w:contextualSpacing/>
        <w:jc w:val="both"/>
        <w:rPr>
          <w:rFonts w:ascii="Work Sans" w:hAnsi="Work Sans" w:cs="Arial"/>
          <w:sz w:val="24"/>
        </w:rPr>
      </w:pPr>
    </w:p>
    <w:p w14:paraId="1261DC4D"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Adicionalmente, resulta pertinente precisar que el Ministerio de Minas y Energía no ostenta competencia legal para determinar las condiciones comerciales, logísticas u operativas bajo las cuales los productores de hidrocarburos deben comercializar o transportar su producción. En efecto, de conformidad con el principio de legalidad que rige el ejercicio de la función administrativa y con las funciones asignadas a esta cartera mediante el Decreto 381 de 2012, corresponde al Ministerio formular, adoptar, dirigir y coordinar la política pública del sector minero energético, así como expedir la regulación y lineamientos sectoriales que resulten aplicables. Sin embargo, dentro de dicho marco competencial no se encuentra la facultad de ordenar a los productores la utilización de un determinado modo de transporte, una infraestructura específica o una ruta logística particular para la evacuación de hidrocarburos.</w:t>
      </w:r>
    </w:p>
    <w:p w14:paraId="4F4D2D1F" w14:textId="77777777" w:rsidR="00FD7ADB" w:rsidRPr="00FD7ADB" w:rsidRDefault="00FD7ADB" w:rsidP="00FD7ADB">
      <w:pPr>
        <w:spacing w:line="240" w:lineRule="auto"/>
        <w:ind w:right="51"/>
        <w:contextualSpacing/>
        <w:jc w:val="both"/>
        <w:rPr>
          <w:rFonts w:ascii="Work Sans" w:hAnsi="Work Sans" w:cs="Arial"/>
          <w:sz w:val="24"/>
        </w:rPr>
      </w:pPr>
    </w:p>
    <w:p w14:paraId="5EC8CC1C"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lastRenderedPageBreak/>
        <w:t>En ese sentido, la selección entre transporte por oleoducto, transporte terrestre mediante carrotanques u otras alternativas logísticas legalmente habilitadas constituye una decisión que corresponde adoptar a los productores y demás agentes de la cadena de hidrocarburos dentro del marco jurídico aplicable. En consecuencia, esta Entidad carece de competencia para ordenar, privilegiar, restringir o condicionar la utilización de una modalidad específica de transporte o de determinada infraestructura para la evacuación de hidrocarburos, así como para intervenir en la definición de las condiciones comerciales, operativas o de eficiencia económica bajo las cuales los agentes desarrollan sus actividades.</w:t>
      </w:r>
    </w:p>
    <w:p w14:paraId="584B43CF" w14:textId="77777777" w:rsidR="00FD7ADB" w:rsidRPr="00FD7ADB" w:rsidRDefault="00FD7ADB" w:rsidP="00FD7ADB">
      <w:pPr>
        <w:spacing w:line="240" w:lineRule="auto"/>
        <w:ind w:right="51"/>
        <w:contextualSpacing/>
        <w:jc w:val="both"/>
        <w:rPr>
          <w:rFonts w:ascii="Work Sans" w:hAnsi="Work Sans" w:cs="Arial"/>
          <w:sz w:val="24"/>
        </w:rPr>
      </w:pPr>
    </w:p>
    <w:p w14:paraId="5A753CC8"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De igual forma, no existe disposición legal que atribuya al Ministerio de Minas y Energía la facultad de someter a procesos de concertación o participación previa de organizaciones sindicales las decisiones comerciales y logísticas que autónomamente adopten los productores respecto de la evacuación y comercialización de su producción. Por consiguiente, la solicitud elevada por los peticionarios no corresponde a una actuación que pueda ser adelantada por esta Cartera Ministerial en ejercicio de las competencias que le han sido legalmente asignadas.</w:t>
      </w:r>
    </w:p>
    <w:p w14:paraId="5EA9A3AA" w14:textId="77777777" w:rsidR="00FD7ADB" w:rsidRPr="00FD7ADB" w:rsidRDefault="00FD7ADB" w:rsidP="00FD7ADB">
      <w:pPr>
        <w:spacing w:line="240" w:lineRule="auto"/>
        <w:ind w:right="51"/>
        <w:contextualSpacing/>
        <w:jc w:val="both"/>
        <w:rPr>
          <w:rFonts w:ascii="Work Sans" w:hAnsi="Work Sans" w:cs="Arial"/>
          <w:sz w:val="24"/>
        </w:rPr>
      </w:pPr>
    </w:p>
    <w:p w14:paraId="2CF896E3"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Ahora bien, frente a las manifestaciones relacionadas con la utilización de infraestructura localizada en la República del Ecuador, es importante señalar que el escenario descrito en el comunicado no corresponde a una política pública del Gobierno Nacional orientada a trasladar operaciones fuera del territorio colombiano. Por el contrario, los antecedentes recientes evidencian que el transporte de crudo colombiano a través de infraestructura ecuatoriana correspondía a una operación que se desarrollaba de manera regular con anterioridad a diciembre de 2025 y que posteriormente se vio afectada por medidas adoptadas unilateralmente por la República del Ecuador, entre ellas las restricciones impuestas al tránsito por el paso fronterizo de San Miguel y el incremento de la tarifa de servicio de transporte de hidrocarburos por el Sistema de Oleoducto Transecuatoriano a los agentes colombianos.</w:t>
      </w:r>
    </w:p>
    <w:p w14:paraId="57C14C0B" w14:textId="77777777" w:rsidR="00FD7ADB" w:rsidRPr="00FD7ADB" w:rsidRDefault="00FD7ADB" w:rsidP="00FD7ADB">
      <w:pPr>
        <w:spacing w:line="240" w:lineRule="auto"/>
        <w:ind w:right="51"/>
        <w:contextualSpacing/>
        <w:jc w:val="both"/>
        <w:rPr>
          <w:rFonts w:ascii="Work Sans" w:hAnsi="Work Sans" w:cs="Arial"/>
          <w:sz w:val="24"/>
        </w:rPr>
      </w:pPr>
    </w:p>
    <w:p w14:paraId="2D8F2A13"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 xml:space="preserve">Como consecuencia de dichas restricciones, diversos productores y agentes de la industria implementaron alternativas temporales de evacuación dentro del territorio nacional, incluyendo el transporte terrestre mediante carrotanques y la utilización de infraestructura nacional de transporte por ductos, particularmente a través del sistema del Oleoducto Central de Colombia, con el fin de garantizar la continuidad de las operaciones y el acceso a mercados </w:t>
      </w:r>
      <w:r w:rsidRPr="00FD7ADB">
        <w:rPr>
          <w:rFonts w:ascii="Work Sans" w:hAnsi="Work Sans" w:cs="Arial"/>
          <w:sz w:val="24"/>
        </w:rPr>
        <w:lastRenderedPageBreak/>
        <w:t>de exportación. Tales decisiones obedecieron a determinaciones empresariales adoptadas por los respectivos agentes económicos frente a las condiciones de mercado existentes en ese momento y no a una instrucción o directriz impartida por el Ministerio de Minas y Energía.</w:t>
      </w:r>
    </w:p>
    <w:p w14:paraId="684DD9D7" w14:textId="77777777" w:rsidR="00FD7ADB" w:rsidRPr="00FD7ADB" w:rsidRDefault="00FD7ADB" w:rsidP="00FD7ADB">
      <w:pPr>
        <w:spacing w:line="240" w:lineRule="auto"/>
        <w:ind w:right="51"/>
        <w:contextualSpacing/>
        <w:jc w:val="both"/>
        <w:rPr>
          <w:rFonts w:ascii="Work Sans" w:hAnsi="Work Sans" w:cs="Arial"/>
          <w:sz w:val="24"/>
        </w:rPr>
      </w:pPr>
    </w:p>
    <w:p w14:paraId="0DAAFD20"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Precisamente, la República de Colombia promovió ante la Secretaría General de la Comunidad Andina las actuaciones previstas en el ordenamiento comunitario andino para controvertir la primera restricción. Como resultado de dicho procedimiento, mediante Resolución 2590 del 14 de mayo de 2026, la Secretaría General de la Comunidad Andina calificó la medida adoptada por la República del Ecuador como una restricción al comercio subregional andino y ordenó su retiro dentro del plazo establecido en dicho acto administrativo. Posteriormente, ante la persistencia de dicha situación, la República de Colombia promovió la correspondiente acción de incumplimiento ante las instancias comunitarias, con el fin de obtener la plena observancia de las obligaciones derivadas del Acuerdo de Cartagena por parte de la República del Ecuador.</w:t>
      </w:r>
    </w:p>
    <w:p w14:paraId="73BD7D4D" w14:textId="77777777" w:rsidR="00FD7ADB" w:rsidRPr="00FD7ADB" w:rsidRDefault="00FD7ADB" w:rsidP="00FD7ADB">
      <w:pPr>
        <w:spacing w:line="240" w:lineRule="auto"/>
        <w:ind w:right="51"/>
        <w:contextualSpacing/>
        <w:jc w:val="both"/>
        <w:rPr>
          <w:rFonts w:ascii="Work Sans" w:hAnsi="Work Sans" w:cs="Arial"/>
          <w:sz w:val="24"/>
        </w:rPr>
      </w:pPr>
    </w:p>
    <w:p w14:paraId="477CFA85"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En consecuencia, el restablecimiento de las condiciones de tránsito y acceso a la infraestructura ecuatoriana no constituye la creación de una nueva alternativa logística ni una decisión estatal orientada a trasladar operaciones fuera del país, sino el restablecimiento de las condiciones existentes con anterioridad a la imposición de las restricciones adoptadas por la República del Ecuador. Dentro de ese contexto, la eventual reanudación de operaciones de transporte de crudo a través del SOTE corresponde al restablecimiento de una alternativa logística que históricamente había sido utilizada por algunos productores y no a una decisión impuesta, promovida o direccionada por el Ministerio de Minas y Energía.</w:t>
      </w:r>
    </w:p>
    <w:p w14:paraId="20A38A6C" w14:textId="77777777" w:rsidR="00FD7ADB" w:rsidRPr="00FD7ADB" w:rsidRDefault="00FD7ADB" w:rsidP="00FD7ADB">
      <w:pPr>
        <w:spacing w:line="240" w:lineRule="auto"/>
        <w:ind w:right="51"/>
        <w:contextualSpacing/>
        <w:jc w:val="both"/>
        <w:rPr>
          <w:rFonts w:ascii="Work Sans" w:hAnsi="Work Sans" w:cs="Arial"/>
          <w:sz w:val="24"/>
        </w:rPr>
      </w:pPr>
    </w:p>
    <w:p w14:paraId="3D021D5D" w14:textId="77777777" w:rsidR="00FD7ADB" w:rsidRPr="00FD7ADB"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t>Finalmente, se reitera que las decisiones que eventualmente adopten los productores respecto del uso de la infraestructura de transporte disponible en Colombia o en el Ecuador corresponderán al ámbito de sus decisiones empresariales y comerciales, bajo su exclusiva responsabilidad y dentro del marco jurídico aplicable, sin que exista competencia legal por parte del Ministerio de Minas y Energía para intervenir en la definición de la alternativa logística que consideren más conveniente o eficiente para la evacuación y comercialización de su producción.</w:t>
      </w:r>
    </w:p>
    <w:p w14:paraId="152D413E" w14:textId="77777777" w:rsidR="00FD7ADB" w:rsidRPr="00FD7ADB" w:rsidRDefault="00FD7ADB" w:rsidP="00FD7ADB">
      <w:pPr>
        <w:spacing w:line="240" w:lineRule="auto"/>
        <w:ind w:right="51"/>
        <w:contextualSpacing/>
        <w:jc w:val="both"/>
        <w:rPr>
          <w:rFonts w:ascii="Work Sans" w:hAnsi="Work Sans" w:cs="Arial"/>
          <w:sz w:val="24"/>
        </w:rPr>
      </w:pPr>
    </w:p>
    <w:p w14:paraId="042CB3CE" w14:textId="77777777" w:rsidR="000342BF" w:rsidRDefault="00FD7ADB" w:rsidP="00FD7ADB">
      <w:pPr>
        <w:spacing w:line="240" w:lineRule="auto"/>
        <w:ind w:right="51"/>
        <w:contextualSpacing/>
        <w:jc w:val="both"/>
        <w:rPr>
          <w:rFonts w:ascii="Work Sans" w:hAnsi="Work Sans" w:cs="Arial"/>
          <w:sz w:val="24"/>
        </w:rPr>
      </w:pPr>
      <w:r w:rsidRPr="00FD7ADB">
        <w:rPr>
          <w:rFonts w:ascii="Work Sans" w:hAnsi="Work Sans" w:cs="Arial"/>
          <w:sz w:val="24"/>
        </w:rPr>
        <w:lastRenderedPageBreak/>
        <w:t xml:space="preserve">Sin perjuicio de lo anterior, este Ministerio reconoce la importancia de las consideraciones expuestas por las organizaciones sindicales en relación con el empleo, el desarrollo económico regional y el bienestar de las comunidades vinculadas a la cadena de hidrocarburos en el departamento del Putumayo. </w:t>
      </w:r>
    </w:p>
    <w:p w14:paraId="41FA95DD" w14:textId="77777777" w:rsidR="00FD7ADB" w:rsidRPr="00FD7ADB" w:rsidRDefault="000342BF" w:rsidP="00FD7ADB">
      <w:pPr>
        <w:spacing w:line="240" w:lineRule="auto"/>
        <w:ind w:right="51"/>
        <w:contextualSpacing/>
        <w:jc w:val="both"/>
        <w:rPr>
          <w:rFonts w:ascii="Work Sans" w:hAnsi="Work Sans" w:cs="Arial"/>
          <w:sz w:val="24"/>
        </w:rPr>
      </w:pPr>
      <w:r>
        <w:rPr>
          <w:rFonts w:ascii="Work Sans" w:hAnsi="Work Sans" w:cs="Arial"/>
          <w:sz w:val="24"/>
        </w:rPr>
        <w:t>Por lo anterior</w:t>
      </w:r>
      <w:r w:rsidR="00FD7ADB" w:rsidRPr="00FD7ADB">
        <w:rPr>
          <w:rFonts w:ascii="Work Sans" w:hAnsi="Work Sans" w:cs="Arial"/>
          <w:sz w:val="24"/>
        </w:rPr>
        <w:t>, las observaciones contenidas en el escrito serán tenidas en consideración en el marco de las competencias constitucionales y legales asignadas a esta Cartera, particularmente en lo relacionado con el seguimiento a las dinámicas del sector de hidrocarburos y la formulación de política pública sectorial.</w:t>
      </w:r>
    </w:p>
    <w:p w14:paraId="455429AF" w14:textId="77777777" w:rsidR="00FD7ADB" w:rsidRDefault="00FD7ADB" w:rsidP="00484A5A">
      <w:pPr>
        <w:spacing w:line="240" w:lineRule="auto"/>
        <w:ind w:right="51"/>
        <w:contextualSpacing/>
        <w:jc w:val="both"/>
        <w:rPr>
          <w:rFonts w:ascii="Work Sans" w:hAnsi="Work Sans" w:cs="Arial"/>
          <w:sz w:val="24"/>
          <w:highlight w:val="yellow"/>
        </w:rPr>
      </w:pPr>
    </w:p>
    <w:p w14:paraId="48CFF5B7" w14:textId="77777777" w:rsidR="00484A5A" w:rsidRDefault="00484A5A" w:rsidP="00484A5A">
      <w:pPr>
        <w:spacing w:line="240" w:lineRule="auto"/>
        <w:ind w:right="51"/>
        <w:contextualSpacing/>
        <w:jc w:val="both"/>
        <w:rPr>
          <w:rFonts w:ascii="Work Sans" w:hAnsi="Work Sans" w:cs="Arial"/>
          <w:sz w:val="24"/>
          <w:highlight w:val="yellow"/>
        </w:rPr>
      </w:pPr>
    </w:p>
    <w:p w14:paraId="6D1250D5" w14:textId="77777777"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72B3F609"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02B559E7" w14:textId="77777777">
        <w:tc>
          <w:tcPr>
            <w:tcW w:w="8789" w:type="dxa"/>
            <w:gridSpan w:val="2"/>
          </w:tcPr>
          <w:p w14:paraId="7CF29E71" w14:textId="77777777" w:rsidR="00DE1913" w:rsidRPr="00F94C11" w:rsidRDefault="00DE1913">
            <w:pPr>
              <w:widowControl w:val="0"/>
              <w:spacing w:after="0"/>
              <w:rPr>
                <w:rFonts w:ascii="Work Sans" w:hAnsi="Work Sans"/>
                <w:sz w:val="24"/>
                <w:szCs w:val="24"/>
              </w:rPr>
            </w:pPr>
          </w:p>
        </w:tc>
      </w:tr>
      <w:tr w:rsidR="00DE1913" w14:paraId="19A79B55" w14:textId="77777777">
        <w:tc>
          <w:tcPr>
            <w:tcW w:w="4380" w:type="dxa"/>
          </w:tcPr>
          <w:p w14:paraId="0246A859" w14:textId="77777777" w:rsidR="00DE1913" w:rsidRDefault="00DE1913">
            <w:pPr>
              <w:widowControl w:val="0"/>
              <w:spacing w:after="0"/>
              <w:rPr>
                <w:rFonts w:ascii="Work Sans ExtraLight" w:hAnsi="Work Sans ExtraLight"/>
              </w:rPr>
            </w:pPr>
            <w:r>
              <w:rPr>
                <w:rFonts w:ascii="Arial" w:hAnsi="Arial"/>
                <w:noProof/>
                <w:sz w:val="20"/>
              </w:rPr>
              <w:drawing>
                <wp:inline distT="0" distB="0" distL="0" distR="0" wp14:anchorId="48DFAAE1" wp14:editId="47AB4292">
                  <wp:extent cx="1200000" cy="10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0pxaS9ybjFHREFZckp5eXZheGNWQT09OjohdjgAHal6ktt9+OyR5Vcf"/>
                          <pic:cNvPicPr/>
                        </pic:nvPicPr>
                        <pic:blipFill>
                          <a:blip/>
                          <a:stretch>
                            <a:fillRect/>
                          </a:stretch>
                        </pic:blipFill>
                        <pic:spPr>
                          <a:xfrm>
                            <a:off x="0" y="0"/>
                            <a:ext cx="1200000" cy="1000000"/>
                          </a:xfrm>
                          <a:prstGeom prst="rect">
                            <a:avLst/>
                          </a:prstGeom>
                        </pic:spPr>
                      </pic:pic>
                    </a:graphicData>
                  </a:graphic>
                </wp:inline>
              </w:drawing>
            </w:r>
            <w:r>
              <w:rPr>
                <w:rFonts w:ascii="Arial" w:hAnsi="Arial"/>
                <w:sz w:val="20"/>
              </w:rPr>
              <w:br/>
              <w:t>Angie Katherine Mejía González</w:t>
            </w:r>
            <w:r>
              <w:rPr>
                <w:rFonts w:ascii="Arial" w:hAnsi="Arial"/>
                <w:sz w:val="20"/>
              </w:rPr>
              <w:br/>
              <w:t>Coordinadora</w:t>
            </w:r>
            <w:r>
              <w:rPr>
                <w:rFonts w:ascii="Arial" w:hAnsi="Arial"/>
                <w:sz w:val="20"/>
              </w:rPr>
              <w:br/>
              <w:t>Grupo de Transporte de Hidrocarburos y demás Combustibles</w:t>
            </w:r>
          </w:p>
        </w:tc>
        <w:tc>
          <w:tcPr>
            <w:tcW w:w="4409" w:type="dxa"/>
          </w:tcPr>
          <w:p w14:paraId="6BB4FF00" w14:textId="77777777" w:rsidR="00DE1913" w:rsidRDefault="00DE1913">
            <w:pPr>
              <w:widowControl w:val="0"/>
              <w:spacing w:after="0"/>
              <w:rPr>
                <w:rFonts w:ascii="Work Sans ExtraLight" w:hAnsi="Work Sans ExtraLight"/>
              </w:rPr>
            </w:pPr>
          </w:p>
        </w:tc>
      </w:tr>
      <w:tr w:rsidR="00DE1913" w14:paraId="472E013D" w14:textId="77777777">
        <w:tc>
          <w:tcPr>
            <w:tcW w:w="4380" w:type="dxa"/>
          </w:tcPr>
          <w:p w14:paraId="4DFED349" w14:textId="77777777" w:rsidR="00DE1913" w:rsidRDefault="00DE1913">
            <w:pPr>
              <w:widowControl w:val="0"/>
              <w:spacing w:after="0"/>
              <w:rPr>
                <w:rFonts w:ascii="Work Sans ExtraLight" w:hAnsi="Work Sans ExtraLight"/>
              </w:rPr>
            </w:pPr>
          </w:p>
        </w:tc>
        <w:tc>
          <w:tcPr>
            <w:tcW w:w="4409" w:type="dxa"/>
          </w:tcPr>
          <w:p w14:paraId="43FC7554" w14:textId="77777777" w:rsidR="00DE1913" w:rsidRDefault="00DE1913">
            <w:pPr>
              <w:widowControl w:val="0"/>
              <w:spacing w:after="0"/>
              <w:rPr>
                <w:rFonts w:ascii="Work Sans ExtraLight" w:hAnsi="Work Sans ExtraLight"/>
              </w:rPr>
            </w:pPr>
          </w:p>
        </w:tc>
      </w:tr>
    </w:tbl>
    <w:p w14:paraId="4AF26650" w14:textId="77777777" w:rsidR="00DE1913" w:rsidRDefault="003B2B73">
      <w:pPr>
        <w:spacing w:after="0"/>
        <w:rPr>
          <w:rFonts w:ascii="Work Sans" w:hAnsi="Work Sans"/>
          <w:sz w:val="16"/>
          <w:szCs w:val="16"/>
        </w:rPr>
      </w:pPr>
      <w:r>
        <w:rPr>
          <w:rFonts w:ascii="Work Sans" w:hAnsi="Work Sans"/>
          <w:sz w:val="16"/>
          <w:szCs w:val="16"/>
        </w:rPr>
        <w:t>Documento firmado electrónicamente amparado en las disposiciones referidas por la Ley 527 de 1999.</w:t>
      </w:r>
    </w:p>
    <w:p w14:paraId="504BED25" w14:textId="77777777" w:rsidR="00DE1913" w:rsidRDefault="003B2B73">
      <w:pPr>
        <w:spacing w:after="0"/>
        <w:rPr>
          <w:rFonts w:ascii="Work Sans" w:hAnsi="Work Sans"/>
          <w:sz w:val="16"/>
          <w:szCs w:val="16"/>
        </w:rPr>
      </w:pPr>
      <w:r>
        <w:rPr>
          <w:rFonts w:ascii="Work Sans" w:hAnsi="Work Sans"/>
          <w:sz w:val="16"/>
          <w:szCs w:val="16"/>
        </w:rPr>
        <w:t>Copia a:</w:t>
      </w:r>
      <w:r>
        <w:rPr>
          <w:rFonts w:ascii="Work Sans" w:hAnsi="Work Sans"/>
          <w:sz w:val="16"/>
          <w:szCs w:val="16"/>
        </w:rPr>
        <w:br/>
        <w:t>Agencia Nacional De Hidrocarburos -  (participacionciudadana@anh.gov.co) - Avenida Calle 26 N° 59 - 65 Piso 2 - BOGOTÁ - D.C.</w:t>
      </w:r>
      <w:r>
        <w:rPr>
          <w:rFonts w:ascii="Work Sans" w:hAnsi="Work Sans"/>
          <w:sz w:val="16"/>
          <w:szCs w:val="16"/>
        </w:rPr>
        <w:br/>
        <w:t>JOSE LEONARDO ROJAS DIAZ -  (jose.rojas@anh.gov.co) - Avenida Calle 26 N° 59 - 65 Piso 2 - BOGOTÁ - D.C.</w:t>
      </w:r>
      <w:r>
        <w:rPr>
          <w:rFonts w:ascii="Work Sans" w:hAnsi="Work Sans"/>
          <w:sz w:val="16"/>
          <w:szCs w:val="16"/>
        </w:rPr>
        <w:br/>
        <w:t xml:space="preserve"> </w:t>
      </w:r>
    </w:p>
    <w:p w14:paraId="0BD5755E"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Radicado Padre: 1-2026-028373</w:t>
      </w:r>
    </w:p>
    <w:p w14:paraId="17045138" w14:textId="77777777" w:rsidR="00DE1913" w:rsidRDefault="00DE1913">
      <w:pPr>
        <w:spacing w:after="0"/>
        <w:rPr>
          <w:rFonts w:ascii="Work Sans" w:hAnsi="Work Sans"/>
          <w:sz w:val="16"/>
          <w:szCs w:val="16"/>
        </w:rPr>
      </w:pPr>
    </w:p>
    <w:p w14:paraId="1BACA26B" w14:textId="77777777" w:rsidR="00DE1913" w:rsidRDefault="003B2B73">
      <w:pPr>
        <w:spacing w:after="0"/>
      </w:pPr>
      <w:r>
        <w:rPr>
          <w:rFonts w:ascii="Work Sans" w:hAnsi="Work Sans"/>
          <w:sz w:val="16"/>
          <w:szCs w:val="16"/>
        </w:rPr>
        <w:t>Elaboró: Oscar Andrés Rodríguez Jauregui</w:t>
      </w:r>
      <w:r>
        <w:rPr>
          <w:rFonts w:ascii="Work Sans" w:hAnsi="Work Sans"/>
          <w:sz w:val="16"/>
          <w:szCs w:val="16"/>
          <w:lang w:val="es-ES"/>
        </w:rPr>
        <w:br/>
      </w:r>
      <w:r>
        <w:rPr>
          <w:rFonts w:ascii="Work Sans" w:hAnsi="Work Sans"/>
          <w:sz w:val="16"/>
          <w:szCs w:val="16"/>
        </w:rPr>
        <w:t>Revisó: Cristian Raúl Gaviria Araque</w:t>
      </w:r>
      <w:r>
        <w:rPr>
          <w:rFonts w:ascii="Work Sans" w:hAnsi="Work Sans"/>
          <w:sz w:val="16"/>
          <w:szCs w:val="16"/>
        </w:rPr>
        <w:br/>
        <w:t>Aprobó: Angie Katherine Mejía González</w:t>
      </w:r>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87BA3" w14:textId="77777777" w:rsidR="00161A2A" w:rsidRDefault="00161A2A">
      <w:pPr>
        <w:spacing w:after="0" w:line="240" w:lineRule="auto"/>
      </w:pPr>
      <w:r>
        <w:separator/>
      </w:r>
    </w:p>
  </w:endnote>
  <w:endnote w:type="continuationSeparator" w:id="0">
    <w:p w14:paraId="2E491B2E" w14:textId="77777777" w:rsidR="00161A2A" w:rsidRDefault="0016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06EF2" w14:textId="77777777" w:rsidR="00DE1913" w:rsidRDefault="002478C2">
    <w:pPr>
      <w:pStyle w:val="Piedepgina"/>
    </w:pPr>
    <w:r>
      <w:rPr>
        <w:noProof/>
      </w:rPr>
      <w:drawing>
        <wp:anchor distT="0" distB="0" distL="114300" distR="114300" simplePos="0" relativeHeight="251663360" behindDoc="0" locked="0" layoutInCell="1" allowOverlap="1" wp14:anchorId="138088EC" wp14:editId="451185B9">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D79FD" w14:textId="77777777" w:rsidR="00161A2A" w:rsidRDefault="00161A2A">
      <w:pPr>
        <w:spacing w:after="0" w:line="240" w:lineRule="auto"/>
      </w:pPr>
      <w:r>
        <w:separator/>
      </w:r>
    </w:p>
  </w:footnote>
  <w:footnote w:type="continuationSeparator" w:id="0">
    <w:p w14:paraId="43114A40" w14:textId="77777777" w:rsidR="00161A2A" w:rsidRDefault="0016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54DBB406" w14:textId="77777777"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05FA33EC" wp14:editId="6AA693C9">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B962239" w14:textId="77777777" w:rsidR="005225C6" w:rsidRDefault="005617AA" w:rsidP="005225C6">
        <w:pPr>
          <w:pStyle w:val="Encabezado"/>
          <w:jc w:val="right"/>
          <w:rPr>
            <w:noProof/>
          </w:rPr>
        </w:pPr>
        <w:r>
          <w:rPr>
            <w:noProof/>
          </w:rPr>
          <w:t xml:space="preserve">   </w:t>
        </w:r>
      </w:p>
      <w:p w14:paraId="19ABA898" w14:textId="77777777" w:rsidR="005225C6" w:rsidRDefault="005225C6" w:rsidP="005225C6">
        <w:pPr>
          <w:pStyle w:val="Encabezado"/>
          <w:jc w:val="right"/>
          <w:rPr>
            <w:noProof/>
          </w:rPr>
        </w:pPr>
      </w:p>
      <w:p w14:paraId="696F986C" w14:textId="77777777" w:rsidR="00892C0E" w:rsidRDefault="005617AA" w:rsidP="005225C6">
        <w:pPr>
          <w:pStyle w:val="Encabezado"/>
          <w:jc w:val="right"/>
          <w:rPr>
            <w:noProof/>
          </w:rPr>
        </w:pPr>
        <w:r>
          <w:rPr>
            <w:noProof/>
          </w:rPr>
          <w:tab/>
        </w:r>
      </w:p>
      <w:p w14:paraId="793752D4" w14:textId="77777777" w:rsidR="005225C6" w:rsidRDefault="005225C6">
        <w:pPr>
          <w:pStyle w:val="Encabezado"/>
          <w:jc w:val="right"/>
          <w:rPr>
            <w:rFonts w:ascii="Work Sans" w:eastAsia="Arial Unicode MS" w:hAnsi="Work Sans" w:cs="Arial"/>
            <w:bCs/>
            <w:sz w:val="18"/>
            <w:szCs w:val="36"/>
            <w:lang w:val="es-ES"/>
          </w:rPr>
        </w:pPr>
      </w:p>
      <w:p w14:paraId="5A7188EC" w14:textId="77777777"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2-2026-027441</w:t>
        </w:r>
      </w:p>
      <w:p w14:paraId="509EB3F4"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2-2026-027441</w:t>
        </w:r>
      </w:p>
      <w:p w14:paraId="736A78E5"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19-06-2026</w:t>
        </w:r>
      </w:p>
    </w:sdtContent>
  </w:sdt>
  <w:p w14:paraId="56ACE08D"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342BF"/>
    <w:rsid w:val="000418C8"/>
    <w:rsid w:val="00161A2A"/>
    <w:rsid w:val="001818F1"/>
    <w:rsid w:val="002478C2"/>
    <w:rsid w:val="00262ACE"/>
    <w:rsid w:val="003121A9"/>
    <w:rsid w:val="003526E7"/>
    <w:rsid w:val="003B2B73"/>
    <w:rsid w:val="00484A5A"/>
    <w:rsid w:val="00496E70"/>
    <w:rsid w:val="005225C6"/>
    <w:rsid w:val="005617AA"/>
    <w:rsid w:val="005646C4"/>
    <w:rsid w:val="005824CB"/>
    <w:rsid w:val="00640E5A"/>
    <w:rsid w:val="007A5A72"/>
    <w:rsid w:val="0080234E"/>
    <w:rsid w:val="00830730"/>
    <w:rsid w:val="00862A17"/>
    <w:rsid w:val="00892C0E"/>
    <w:rsid w:val="008E4ABF"/>
    <w:rsid w:val="009359F1"/>
    <w:rsid w:val="00972E59"/>
    <w:rsid w:val="00981241"/>
    <w:rsid w:val="009E5228"/>
    <w:rsid w:val="00A3590E"/>
    <w:rsid w:val="00A86526"/>
    <w:rsid w:val="00AD43C1"/>
    <w:rsid w:val="00B4250F"/>
    <w:rsid w:val="00B51607"/>
    <w:rsid w:val="00C0455B"/>
    <w:rsid w:val="00D82C72"/>
    <w:rsid w:val="00DC7B37"/>
    <w:rsid w:val="00DE1913"/>
    <w:rsid w:val="00E113E2"/>
    <w:rsid w:val="00E37AC0"/>
    <w:rsid w:val="00E823F2"/>
    <w:rsid w:val="00EB3862"/>
    <w:rsid w:val="00ED142A"/>
    <w:rsid w:val="00F80A1F"/>
    <w:rsid w:val="00F94C11"/>
    <w:rsid w:val="00FA439A"/>
    <w:rsid w:val="00FD392C"/>
    <w:rsid w:val="00FD7ADB"/>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2AA03"/>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FD7ADB"/>
    <w:rPr>
      <w:color w:val="0563C1" w:themeColor="hyperlink"/>
      <w:u w:val="single"/>
    </w:rPr>
  </w:style>
  <w:style w:type="character" w:styleId="Mencinsinresolver">
    <w:name w:val="Unresolved Mention"/>
    <w:basedOn w:val="Fuentedeprrafopredeter"/>
    <w:uiPriority w:val="99"/>
    <w:semiHidden/>
    <w:unhideWhenUsed/>
    <w:rsid w:val="00FD7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1588</Words>
  <Characters>8735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2026-06-22T16:42:00Z</dcterms:created>
  <dcterms:modified xsi:type="dcterms:W3CDTF">2026-06-22T16:42:00Z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